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  <w:rtl w:val="0"/>
        </w:rPr>
        <w:t xml:space="preserve">Annexe C. BORDEREAUX DE PRIX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Century Schoolbook" w:cs="Century Schoolbook" w:eastAsia="Century Schoolbook" w:hAnsi="Century Schoolbook"/>
          <w:sz w:val="24"/>
          <w:szCs w:val="24"/>
          <w:u w:val="singl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  <w:rtl w:val="0"/>
        </w:rPr>
        <w:t xml:space="preserve">LOT 1 –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  <w:u w:val="single"/>
          <w:rtl w:val="0"/>
        </w:rPr>
        <w:t xml:space="preserve">Fourniture et installation des équipements d’alimentation hydraulique</w:t>
      </w: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0"/>
        <w:gridCol w:w="3060"/>
        <w:gridCol w:w="960"/>
        <w:gridCol w:w="1365"/>
        <w:gridCol w:w="1590"/>
        <w:gridCol w:w="1590"/>
        <w:tblGridChange w:id="0">
          <w:tblGrid>
            <w:gridCol w:w="690"/>
            <w:gridCol w:w="3060"/>
            <w:gridCol w:w="960"/>
            <w:gridCol w:w="1365"/>
            <w:gridCol w:w="1590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Désignation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Unité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PU HT (DT)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Total HT (DT)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.692913385826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Pompe immergée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180" w:before="180" w:line="240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Unité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180" w:before="180" w:line="240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Moteur électrique immergé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180" w:before="180" w:line="240" w:lineRule="auto"/>
              <w:jc w:val="center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Unité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180" w:before="180" w:line="240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Armoire électrique de commande et de protection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280" w:before="280" w:line="240" w:lineRule="auto"/>
              <w:jc w:val="center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Unité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280" w:before="280" w:line="240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Sonde de niveau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180" w:before="180" w:line="240" w:lineRule="auto"/>
              <w:jc w:val="center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Unité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180" w:before="180" w:line="240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Câble électrique pour sonde de niveau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280" w:before="280" w:line="240" w:lineRule="auto"/>
              <w:jc w:val="center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280" w:before="280" w:line="240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Câble électrique d’alimentation du groupe motopompe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280" w:before="280" w:line="240" w:lineRule="auto"/>
              <w:jc w:val="center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280" w:before="280" w:line="240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Câble pour dispositif de manutention de la pompe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280" w:before="280" w:line="240" w:lineRule="auto"/>
              <w:jc w:val="center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280" w:before="280" w:line="240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Hydromètre complet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180" w:before="180" w:line="240" w:lineRule="auto"/>
              <w:jc w:val="center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Unité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180" w:before="180" w:line="240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8.515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160" w:line="259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Raccord pompe, colonne montante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280" w:before="280" w:line="240" w:lineRule="auto"/>
              <w:jc w:val="center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Unité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280" w:before="280" w:line="240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8.515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before="180" w:line="48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Conduite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before="200" w:line="480" w:lineRule="auto"/>
              <w:jc w:val="center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before="200" w:line="480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180" w:before="1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before="200" w:line="360" w:lineRule="auto"/>
              <w:ind w:left="110" w:firstLine="0"/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Sous Total HT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280" w:before="280" w:line="240" w:lineRule="auto"/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80" w:before="280" w:line="240" w:lineRule="auto"/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80" w:before="280" w:line="240" w:lineRule="auto"/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80" w:before="280" w:line="240" w:lineRule="auto"/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80" w:before="280" w:line="240" w:lineRule="auto"/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  <w:rtl w:val="0"/>
        </w:rPr>
        <w:t xml:space="preserve">LOT 2 –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  <w:u w:val="single"/>
          <w:rtl w:val="0"/>
        </w:rPr>
        <w:t xml:space="preserve">Fourniture et installation d’un système d’irrigation</w:t>
      </w:r>
    </w:p>
    <w:tbl>
      <w:tblPr>
        <w:tblStyle w:val="Table2"/>
        <w:tblW w:w="9239.055118110236" w:type="dxa"/>
        <w:jc w:val="left"/>
        <w:tblInd w:w="-3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3.6220472440946"/>
        <w:gridCol w:w="3120"/>
        <w:gridCol w:w="960"/>
        <w:gridCol w:w="1360.6299212598426"/>
        <w:gridCol w:w="1587.4015748031497"/>
        <w:gridCol w:w="1587.4015748031497"/>
        <w:tblGridChange w:id="0">
          <w:tblGrid>
            <w:gridCol w:w="623.6220472440946"/>
            <w:gridCol w:w="3120"/>
            <w:gridCol w:w="960"/>
            <w:gridCol w:w="1360.6299212598426"/>
            <w:gridCol w:w="1587.4015748031497"/>
            <w:gridCol w:w="1587.4015748031497"/>
          </w:tblGrid>
        </w:tblGridChange>
      </w:tblGrid>
      <w:tr>
        <w:trPr>
          <w:cantSplit w:val="0"/>
          <w:trHeight w:val="987.0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280" w:before="28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before="28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Désignation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before="28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Unité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before="28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before="28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PU HT (DT)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before="28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Total HT (DT)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160" w:before="160" w:line="259.20000000000005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Tuyau de goutte-à-goutte perforés sans goûteurs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160" w:before="160" w:line="259.20000000000005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160" w:before="160" w:line="259.20000000000005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4 000 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160" w:before="160" w:line="259.20000000000005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Goutteur à piquer (Key Clip)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160" w:before="160" w:line="259.20000000000005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Unité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160" w:before="160" w:line="259.20000000000005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1 000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160" w:before="160" w:line="259.20000000000005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160" w:before="160" w:line="259.20000000000005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Manchon cannelé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160" w:before="160" w:line="259.20000000000005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Unité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160" w:before="160" w:line="259.20000000000005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200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before="200" w:line="360" w:lineRule="auto"/>
              <w:ind w:left="110" w:firstLine="0"/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Sous Total HT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before="20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280" w:before="280" w:line="240" w:lineRule="auto"/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  <w:rtl w:val="0"/>
        </w:rPr>
        <w:t xml:space="preserve">LOT 3 –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  <w:u w:val="single"/>
          <w:rtl w:val="0"/>
        </w:rPr>
        <w:t xml:space="preserve">Mise en service, essais et formation </w:t>
      </w:r>
    </w:p>
    <w:tbl>
      <w:tblPr>
        <w:tblStyle w:val="Table3"/>
        <w:tblW w:w="9255.0" w:type="dxa"/>
        <w:jc w:val="left"/>
        <w:tblInd w:w="-3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3270"/>
        <w:gridCol w:w="915"/>
        <w:gridCol w:w="1320"/>
        <w:gridCol w:w="1485"/>
        <w:gridCol w:w="1635"/>
        <w:tblGridChange w:id="0">
          <w:tblGrid>
            <w:gridCol w:w="630"/>
            <w:gridCol w:w="3270"/>
            <w:gridCol w:w="915"/>
            <w:gridCol w:w="1320"/>
            <w:gridCol w:w="1485"/>
            <w:gridCol w:w="163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Désignation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Unité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PU HT (DT)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Total HT (DT)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280" w:before="28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Transport et livraison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lot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160" w:before="160" w:line="240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Installation complète clé en main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lot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160" w:before="160" w:line="240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Mise en service et tests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lot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160" w:before="160" w:line="240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3.4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Formation technique (1 jour)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lot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160" w:before="160" w:line="240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3.5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Assistance, entretien et suivi post-installation pendant une durée d’un (01) an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lot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before="200" w:line="480" w:lineRule="auto"/>
              <w:jc w:val="center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280" w:before="280" w:line="24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.7734374999999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before="200" w:line="360" w:lineRule="auto"/>
              <w:ind w:left="110" w:firstLine="0"/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Sous Total HT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140" w:before="140" w:line="360" w:lineRule="auto"/>
              <w:rPr>
                <w:rFonts w:ascii="Century Schoolbook" w:cs="Century Schoolbook" w:eastAsia="Century Schoolbook" w:hAnsi="Century Schoolboo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widowControl w:val="0"/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240" w:lineRule="auto"/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240" w:lineRule="auto"/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240" w:lineRule="auto"/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4"/>
          <w:szCs w:val="24"/>
          <w:rtl w:val="0"/>
        </w:rPr>
        <w:t xml:space="preserve">RÉCAPITULATIF GÉNÉRAL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before="59" w:line="240" w:lineRule="auto"/>
        <w:jc w:val="both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70"/>
        <w:gridCol w:w="4650"/>
        <w:tblGridChange w:id="0">
          <w:tblGrid>
            <w:gridCol w:w="4470"/>
            <w:gridCol w:w="4650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56" w:lineRule="auto"/>
              <w:ind w:left="15" w:firstLine="0"/>
              <w:jc w:val="center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Lot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56" w:lineRule="auto"/>
              <w:ind w:left="12" w:firstLine="0"/>
              <w:jc w:val="center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Total HT (DT)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20" w:before="200" w:line="360" w:lineRule="auto"/>
              <w:ind w:left="110" w:firstLine="0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Total HT Lot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20" w:before="200" w:line="360" w:lineRule="auto"/>
              <w:ind w:left="110" w:firstLine="0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Total HT Lot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20" w:before="200" w:line="360" w:lineRule="auto"/>
              <w:ind w:left="110" w:firstLine="0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Total HT Lot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20" w:before="200" w:line="360" w:lineRule="auto"/>
              <w:ind w:left="110" w:firstLine="0"/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bCs w:val="1"/>
                <w:sz w:val="24"/>
                <w:szCs w:val="24"/>
                <w:rtl w:val="0"/>
              </w:rPr>
              <w:t xml:space="preserve">TOTAL GÉNÉRAL 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entury Schoolbook" w:cs="Century Schoolbook" w:eastAsia="Century Schoolbook" w:hAnsi="Century School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280" w:before="280" w:line="240" w:lineRule="auto"/>
        <w:rPr>
          <w:rFonts w:ascii="Century Schoolbook" w:cs="Century Schoolbook" w:eastAsia="Century Schoolbook" w:hAnsi="Century Schoolbook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                                                   </w:t>
      </w:r>
      <w:r w:rsidDel="00000000" w:rsidR="00000000" w:rsidRPr="00000000">
        <w:rPr>
          <w:rFonts w:ascii="Century Schoolbook" w:cs="Century Schoolbook" w:eastAsia="Century Schoolbook" w:hAnsi="Century Schoolbook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 Cachet et signature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4876800</wp:posOffset>
          </wp:positionH>
          <wp:positionV relativeFrom="paragraph">
            <wp:posOffset>-180974</wp:posOffset>
          </wp:positionV>
          <wp:extent cx="1155065" cy="5937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5065" cy="593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-590549</wp:posOffset>
          </wp:positionH>
          <wp:positionV relativeFrom="paragraph">
            <wp:posOffset>-342899</wp:posOffset>
          </wp:positionV>
          <wp:extent cx="3145155" cy="1381125"/>
          <wp:effectExtent b="0" l="0" r="0" t="0"/>
          <wp:wrapTopAndBottom distB="114300" distT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5155" cy="13811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  <w:highlight w:val="whit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